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3F6CC132" w:rsidR="00B53A27" w:rsidRPr="00936D55" w:rsidRDefault="00500140" w:rsidP="00B53A27">
            <w:pPr>
              <w:spacing w:after="0" w:line="276" w:lineRule="auto"/>
              <w:rPr>
                <w:rFonts w:asciiTheme="minorHAnsi" w:hAnsiTheme="minorHAnsi" w:cstheme="minorHAnsi"/>
              </w:rPr>
            </w:pPr>
            <w:r>
              <w:rPr>
                <w:rFonts w:asciiTheme="minorHAnsi" w:hAnsiTheme="minorHAnsi" w:cstheme="minorHAnsi"/>
              </w:rPr>
              <w:t>Atención a Personas con Discapacidad</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223A8C55" w:rsidR="00B53A27" w:rsidRPr="00936D55" w:rsidRDefault="00500140" w:rsidP="00B53A27">
            <w:pPr>
              <w:spacing w:after="0" w:line="276" w:lineRule="auto"/>
              <w:rPr>
                <w:rFonts w:asciiTheme="minorHAnsi" w:hAnsiTheme="minorHAnsi" w:cstheme="minorHAnsi"/>
              </w:rPr>
            </w:pPr>
            <w:r>
              <w:rPr>
                <w:rFonts w:asciiTheme="minorHAnsi" w:hAnsiTheme="minorHAnsi" w:cstheme="minorHAnsi"/>
              </w:rPr>
              <w:t>Sistema para el Desarrollo Integral de la Familia</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02BC771E" w:rsidR="00B53A27" w:rsidRPr="00936D55" w:rsidRDefault="00EC6521" w:rsidP="00B53A27">
            <w:pPr>
              <w:spacing w:after="0" w:line="276" w:lineRule="auto"/>
              <w:rPr>
                <w:rFonts w:asciiTheme="minorHAnsi" w:hAnsiTheme="minorHAnsi" w:cstheme="minorHAnsi"/>
              </w:rPr>
            </w:pPr>
            <w:r w:rsidRPr="00EC6521">
              <w:rPr>
                <w:rFonts w:asciiTheme="minorHAnsi" w:hAnsiTheme="minorHAnsi" w:cstheme="minorHAnsi"/>
              </w:rPr>
              <w:t>Dirección de Rehabilitación y Medicina Social</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7CEBAFD5" w:rsidR="00B53A27" w:rsidRPr="00936D55" w:rsidRDefault="00500140" w:rsidP="00B53A27">
            <w:pPr>
              <w:spacing w:after="0" w:line="276" w:lineRule="auto"/>
              <w:rPr>
                <w:rFonts w:asciiTheme="minorHAnsi" w:hAnsiTheme="minorHAnsi" w:cstheme="minorHAnsi"/>
              </w:rPr>
            </w:pPr>
            <w:r>
              <w:rPr>
                <w:rFonts w:asciiTheme="minorHAnsi" w:hAnsiTheme="minorHAnsi" w:cstheme="minorHAnsi"/>
              </w:rPr>
              <w:t>Desempeño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480FAB25" w:rsidR="00B53A27" w:rsidRPr="00936D55" w:rsidRDefault="00500140"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1"/>
        <w:gridCol w:w="2236"/>
        <w:gridCol w:w="2742"/>
        <w:gridCol w:w="2305"/>
      </w:tblGrid>
      <w:tr w:rsidR="00BD0258" w:rsidRPr="00BD0258" w14:paraId="144EB42F" w14:textId="77777777" w:rsidTr="00500140">
        <w:trPr>
          <w:trHeight w:val="886"/>
          <w:tblHeader/>
        </w:trPr>
        <w:tc>
          <w:tcPr>
            <w:tcW w:w="1941"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36"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42"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5"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ED3574" w:rsidRPr="00936D55" w14:paraId="4D3DAD0C" w14:textId="77777777" w:rsidTr="00C96143">
        <w:trPr>
          <w:trHeight w:val="2144"/>
        </w:trPr>
        <w:tc>
          <w:tcPr>
            <w:tcW w:w="1941" w:type="dxa"/>
            <w:vAlign w:val="center"/>
          </w:tcPr>
          <w:p w14:paraId="6EBB4888" w14:textId="77777777" w:rsidR="00ED3574" w:rsidRPr="00936D55" w:rsidRDefault="00ED3574" w:rsidP="00ED3574">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11929A2C" w:rsidR="00ED3574" w:rsidRPr="00D02A3D" w:rsidRDefault="00C96143" w:rsidP="00ED3574">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1</w:t>
            </w:r>
          </w:p>
        </w:tc>
        <w:tc>
          <w:tcPr>
            <w:tcW w:w="2236" w:type="dxa"/>
            <w:vAlign w:val="center"/>
          </w:tcPr>
          <w:p w14:paraId="07DCA505" w14:textId="35DB0CDF" w:rsidR="00ED3574" w:rsidRPr="00936D55" w:rsidRDefault="00ED3574" w:rsidP="00ED3574">
            <w:pPr>
              <w:spacing w:after="0" w:line="276" w:lineRule="auto"/>
              <w:jc w:val="both"/>
              <w:rPr>
                <w:rFonts w:asciiTheme="minorHAnsi" w:hAnsiTheme="minorHAnsi" w:cstheme="minorHAnsi"/>
                <w:sz w:val="20"/>
                <w:szCs w:val="20"/>
              </w:rPr>
            </w:pPr>
            <w:r w:rsidRPr="00500140">
              <w:rPr>
                <w:rFonts w:asciiTheme="minorHAnsi" w:hAnsiTheme="minorHAnsi" w:cstheme="minorHAnsi"/>
                <w:sz w:val="20"/>
                <w:szCs w:val="20"/>
              </w:rPr>
              <w:t>Llevar un adecuado mantenimiento de las instalaciones y el equipo biomédico para garantizar una atención de calidad</w:t>
            </w:r>
          </w:p>
        </w:tc>
        <w:tc>
          <w:tcPr>
            <w:tcW w:w="2742" w:type="dxa"/>
            <w:shd w:val="clear" w:color="auto" w:fill="auto"/>
            <w:vAlign w:val="center"/>
          </w:tcPr>
          <w:p w14:paraId="36B3706E" w14:textId="0F159509" w:rsidR="00ED3574" w:rsidRPr="00D05CDC" w:rsidRDefault="00ED3574" w:rsidP="00ED3574">
            <w:pPr>
              <w:spacing w:after="0" w:line="276" w:lineRule="auto"/>
              <w:jc w:val="both"/>
              <w:rPr>
                <w:rFonts w:asciiTheme="minorHAnsi" w:hAnsiTheme="minorHAnsi" w:cstheme="minorHAnsi"/>
                <w:sz w:val="20"/>
                <w:szCs w:val="20"/>
              </w:rPr>
            </w:pPr>
            <w:r>
              <w:rPr>
                <w:rFonts w:asciiTheme="minorHAnsi" w:hAnsiTheme="minorHAnsi" w:cstheme="minorHAnsi"/>
                <w:sz w:val="20"/>
                <w:szCs w:val="20"/>
              </w:rPr>
              <w:t>Gestionar para que los Centros de Rehabilitación Cuenten con personal Biomédico, para poder proporcionar servicio preventivo y correctivo de los equipos biomédicos</w:t>
            </w:r>
          </w:p>
        </w:tc>
        <w:tc>
          <w:tcPr>
            <w:tcW w:w="2305" w:type="dxa"/>
            <w:shd w:val="clear" w:color="auto" w:fill="auto"/>
            <w:vAlign w:val="center"/>
          </w:tcPr>
          <w:p w14:paraId="1CED0DF8" w14:textId="4BCCD662" w:rsidR="00ED3574" w:rsidRPr="00D05CDC" w:rsidRDefault="00ED3574" w:rsidP="00ED3574">
            <w:pPr>
              <w:spacing w:after="0" w:line="276" w:lineRule="auto"/>
              <w:jc w:val="both"/>
              <w:rPr>
                <w:rFonts w:asciiTheme="minorHAnsi" w:hAnsiTheme="minorHAnsi" w:cstheme="minorHAnsi"/>
                <w:sz w:val="20"/>
                <w:szCs w:val="20"/>
              </w:rPr>
            </w:pPr>
            <w:r w:rsidRPr="00500140">
              <w:rPr>
                <w:rFonts w:asciiTheme="minorHAnsi" w:hAnsiTheme="minorHAnsi" w:cstheme="minorHAnsi"/>
                <w:sz w:val="20"/>
                <w:szCs w:val="20"/>
              </w:rPr>
              <w:t>Garantizar una atención de calidad mediante un adecuado mantenimiento de las instalaciones y el equipo biomédico</w:t>
            </w:r>
          </w:p>
        </w:tc>
      </w:tr>
      <w:tr w:rsidR="00ED3574" w:rsidRPr="00936D55" w14:paraId="6202F808" w14:textId="77777777" w:rsidTr="00C96143">
        <w:trPr>
          <w:trHeight w:val="1835"/>
        </w:trPr>
        <w:tc>
          <w:tcPr>
            <w:tcW w:w="1941" w:type="dxa"/>
            <w:vAlign w:val="center"/>
          </w:tcPr>
          <w:p w14:paraId="2FCCAB4C" w14:textId="77777777" w:rsidR="00ED3574" w:rsidRPr="00936D55" w:rsidRDefault="00ED3574" w:rsidP="00ED3574">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20015035" w:rsidR="00ED3574" w:rsidRPr="00D02A3D" w:rsidRDefault="00C96143" w:rsidP="00ED3574">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2</w:t>
            </w:r>
          </w:p>
        </w:tc>
        <w:tc>
          <w:tcPr>
            <w:tcW w:w="2236" w:type="dxa"/>
            <w:vAlign w:val="center"/>
          </w:tcPr>
          <w:p w14:paraId="4C3DA5D5" w14:textId="53F81F0C" w:rsidR="00ED3574" w:rsidRPr="00861D0A" w:rsidRDefault="00ED3574" w:rsidP="00ED3574">
            <w:pPr>
              <w:spacing w:after="0" w:line="276" w:lineRule="auto"/>
              <w:jc w:val="both"/>
              <w:rPr>
                <w:rFonts w:asciiTheme="minorHAnsi" w:hAnsiTheme="minorHAnsi" w:cstheme="minorHAnsi"/>
                <w:sz w:val="20"/>
                <w:szCs w:val="20"/>
              </w:rPr>
            </w:pPr>
            <w:r>
              <w:rPr>
                <w:rFonts w:asciiTheme="minorHAnsi" w:hAnsiTheme="minorHAnsi" w:cstheme="minorHAnsi"/>
                <w:sz w:val="20"/>
                <w:szCs w:val="20"/>
              </w:rPr>
              <w:t>M</w:t>
            </w:r>
            <w:r w:rsidRPr="00500140">
              <w:rPr>
                <w:rFonts w:asciiTheme="minorHAnsi" w:hAnsiTheme="minorHAnsi" w:cstheme="minorHAnsi"/>
                <w:sz w:val="20"/>
                <w:szCs w:val="20"/>
              </w:rPr>
              <w:t>ayor cobertura de atención en la población potencial</w:t>
            </w:r>
          </w:p>
        </w:tc>
        <w:tc>
          <w:tcPr>
            <w:tcW w:w="2742" w:type="dxa"/>
            <w:shd w:val="clear" w:color="auto" w:fill="auto"/>
            <w:vAlign w:val="center"/>
          </w:tcPr>
          <w:p w14:paraId="740FC487" w14:textId="1699C60B" w:rsidR="00ED3574" w:rsidRPr="00D05CDC" w:rsidRDefault="00ED3574" w:rsidP="00ED3574">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Establecer estrategias con los Sistemas DIF municipales para aumentar la cobertura de la población potencial </w:t>
            </w:r>
          </w:p>
        </w:tc>
        <w:tc>
          <w:tcPr>
            <w:tcW w:w="2305" w:type="dxa"/>
            <w:shd w:val="clear" w:color="auto" w:fill="auto"/>
            <w:vAlign w:val="center"/>
          </w:tcPr>
          <w:p w14:paraId="1BF35B51" w14:textId="45AC6429" w:rsidR="00ED3574" w:rsidRPr="00D05CDC" w:rsidRDefault="00ED3574" w:rsidP="00ED3574">
            <w:pPr>
              <w:spacing w:after="0" w:line="276" w:lineRule="auto"/>
              <w:jc w:val="both"/>
              <w:rPr>
                <w:rFonts w:asciiTheme="minorHAnsi" w:hAnsiTheme="minorHAnsi" w:cstheme="minorHAnsi"/>
                <w:sz w:val="20"/>
                <w:szCs w:val="20"/>
              </w:rPr>
            </w:pPr>
            <w:r w:rsidRPr="00500140">
              <w:rPr>
                <w:rFonts w:asciiTheme="minorHAnsi" w:hAnsiTheme="minorHAnsi" w:cstheme="minorHAnsi"/>
                <w:sz w:val="20"/>
                <w:szCs w:val="20"/>
              </w:rPr>
              <w:t>Buscar una mayor cobertura de atención en la población potencial</w:t>
            </w:r>
          </w:p>
        </w:tc>
      </w:tr>
      <w:tr w:rsidR="00ED3574" w:rsidRPr="00936D55" w14:paraId="1DE70AF1" w14:textId="77777777" w:rsidTr="00C96143">
        <w:trPr>
          <w:trHeight w:val="1841"/>
        </w:trPr>
        <w:tc>
          <w:tcPr>
            <w:tcW w:w="1941" w:type="dxa"/>
            <w:vAlign w:val="center"/>
          </w:tcPr>
          <w:p w14:paraId="32757F00" w14:textId="77777777" w:rsidR="00ED3574" w:rsidRPr="00936D55" w:rsidRDefault="00ED3574" w:rsidP="00ED3574">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0FEFEBD" w14:textId="27D6F6E6" w:rsidR="00ED3574" w:rsidRPr="00936D55" w:rsidRDefault="00C96143" w:rsidP="00ED3574">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3</w:t>
            </w:r>
          </w:p>
        </w:tc>
        <w:tc>
          <w:tcPr>
            <w:tcW w:w="2236" w:type="dxa"/>
            <w:vMerge w:val="restart"/>
            <w:vAlign w:val="center"/>
          </w:tcPr>
          <w:p w14:paraId="717F5BF1" w14:textId="5561C233" w:rsidR="00ED3574" w:rsidRPr="00861D0A" w:rsidRDefault="00ED3574" w:rsidP="00ED3574">
            <w:pPr>
              <w:spacing w:after="0" w:line="276" w:lineRule="auto"/>
              <w:jc w:val="both"/>
              <w:rPr>
                <w:rFonts w:asciiTheme="minorHAnsi" w:hAnsiTheme="minorHAnsi" w:cstheme="minorHAnsi"/>
                <w:sz w:val="20"/>
                <w:szCs w:val="20"/>
              </w:rPr>
            </w:pPr>
            <w:r w:rsidRPr="00500140">
              <w:rPr>
                <w:rFonts w:asciiTheme="minorHAnsi" w:hAnsiTheme="minorHAnsi" w:cstheme="minorHAnsi"/>
                <w:sz w:val="20"/>
                <w:szCs w:val="20"/>
              </w:rPr>
              <w:t>Fomentar en la población con discapacidad la importancia de una atención adecuada, así como también concientizar la inclusión de personas con discapacidad en el ámbito laboral, con el fin de evitar la marginación e impulsar un desarrollo sostenible en el Estado de Sinaloa</w:t>
            </w:r>
          </w:p>
        </w:tc>
        <w:tc>
          <w:tcPr>
            <w:tcW w:w="2742" w:type="dxa"/>
            <w:shd w:val="clear" w:color="auto" w:fill="auto"/>
            <w:vAlign w:val="center"/>
          </w:tcPr>
          <w:p w14:paraId="3DF73119" w14:textId="419CE5C8" w:rsidR="00ED3574" w:rsidRPr="00D05CDC" w:rsidRDefault="00ED3574" w:rsidP="00ED3574">
            <w:pPr>
              <w:spacing w:after="0" w:line="276" w:lineRule="auto"/>
              <w:jc w:val="both"/>
              <w:rPr>
                <w:rFonts w:asciiTheme="minorHAnsi" w:hAnsiTheme="minorHAnsi" w:cstheme="minorHAnsi"/>
                <w:sz w:val="20"/>
                <w:szCs w:val="20"/>
              </w:rPr>
            </w:pPr>
            <w:r>
              <w:rPr>
                <w:rFonts w:asciiTheme="minorHAnsi" w:hAnsiTheme="minorHAnsi" w:cstheme="minorHAnsi"/>
                <w:sz w:val="20"/>
                <w:szCs w:val="20"/>
              </w:rPr>
              <w:t>Realizar concientización en la población con discapacidad y de sus familiares la importancia de la atención adecuada para su integración</w:t>
            </w:r>
          </w:p>
        </w:tc>
        <w:tc>
          <w:tcPr>
            <w:tcW w:w="2305" w:type="dxa"/>
            <w:shd w:val="clear" w:color="auto" w:fill="auto"/>
            <w:vAlign w:val="center"/>
          </w:tcPr>
          <w:p w14:paraId="4F23725C" w14:textId="79EFEA54" w:rsidR="00ED3574" w:rsidRPr="00D05CDC" w:rsidRDefault="00ED3574" w:rsidP="00ED3574">
            <w:pPr>
              <w:spacing w:after="0" w:line="276" w:lineRule="auto"/>
              <w:jc w:val="both"/>
              <w:rPr>
                <w:rFonts w:asciiTheme="minorHAnsi" w:hAnsiTheme="minorHAnsi" w:cstheme="minorHAnsi"/>
                <w:sz w:val="20"/>
                <w:szCs w:val="20"/>
              </w:rPr>
            </w:pPr>
            <w:r w:rsidRPr="00500140">
              <w:rPr>
                <w:rFonts w:asciiTheme="minorHAnsi" w:hAnsiTheme="minorHAnsi" w:cstheme="minorHAnsi"/>
                <w:sz w:val="20"/>
                <w:szCs w:val="20"/>
              </w:rPr>
              <w:t>Fomentar en la población con discapacidad la importancia de una atención adecuada</w:t>
            </w:r>
          </w:p>
        </w:tc>
      </w:tr>
      <w:tr w:rsidR="00ED3574" w:rsidRPr="00936D55" w14:paraId="1D0000CA" w14:textId="77777777" w:rsidTr="00C96143">
        <w:trPr>
          <w:trHeight w:val="2396"/>
        </w:trPr>
        <w:tc>
          <w:tcPr>
            <w:tcW w:w="1941" w:type="dxa"/>
            <w:vAlign w:val="center"/>
          </w:tcPr>
          <w:p w14:paraId="7E272D9B" w14:textId="77777777" w:rsidR="00ED3574" w:rsidRPr="00936D55" w:rsidRDefault="00ED3574" w:rsidP="00ED3574">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65BF693" w14:textId="6D8B7673" w:rsidR="00ED3574" w:rsidRPr="00936D55" w:rsidRDefault="00C96143" w:rsidP="00ED3574">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4</w:t>
            </w:r>
          </w:p>
        </w:tc>
        <w:tc>
          <w:tcPr>
            <w:tcW w:w="2236" w:type="dxa"/>
            <w:vMerge/>
            <w:vAlign w:val="center"/>
          </w:tcPr>
          <w:p w14:paraId="610F1342" w14:textId="77777777" w:rsidR="00ED3574" w:rsidRPr="00861D0A" w:rsidRDefault="00ED3574" w:rsidP="00ED3574">
            <w:pPr>
              <w:spacing w:after="0" w:line="276" w:lineRule="auto"/>
              <w:jc w:val="both"/>
              <w:rPr>
                <w:rFonts w:asciiTheme="minorHAnsi" w:hAnsiTheme="minorHAnsi" w:cstheme="minorHAnsi"/>
                <w:sz w:val="20"/>
                <w:szCs w:val="20"/>
              </w:rPr>
            </w:pPr>
          </w:p>
        </w:tc>
        <w:tc>
          <w:tcPr>
            <w:tcW w:w="2742" w:type="dxa"/>
            <w:shd w:val="clear" w:color="auto" w:fill="auto"/>
            <w:vAlign w:val="center"/>
          </w:tcPr>
          <w:p w14:paraId="1A62AB1D" w14:textId="3B280059" w:rsidR="00ED3574" w:rsidRPr="00D05CDC" w:rsidRDefault="00ED3574" w:rsidP="00ED3574">
            <w:pPr>
              <w:spacing w:after="0" w:line="276" w:lineRule="auto"/>
              <w:jc w:val="both"/>
              <w:rPr>
                <w:rFonts w:asciiTheme="minorHAnsi" w:hAnsiTheme="minorHAnsi" w:cstheme="minorHAnsi"/>
                <w:sz w:val="20"/>
                <w:szCs w:val="20"/>
              </w:rPr>
            </w:pPr>
            <w:r>
              <w:rPr>
                <w:rFonts w:asciiTheme="minorHAnsi" w:hAnsiTheme="minorHAnsi" w:cstheme="minorHAnsi"/>
                <w:sz w:val="20"/>
                <w:szCs w:val="20"/>
              </w:rPr>
              <w:t>Hacer conciencia para la inclusión laboral en las personas con discapacidad y en las empresas del estado, para la apertura de espacios laborales para las personas con discapacidad</w:t>
            </w:r>
          </w:p>
        </w:tc>
        <w:tc>
          <w:tcPr>
            <w:tcW w:w="2305" w:type="dxa"/>
            <w:shd w:val="clear" w:color="auto" w:fill="auto"/>
            <w:vAlign w:val="center"/>
          </w:tcPr>
          <w:p w14:paraId="564B2CBC" w14:textId="20404D18" w:rsidR="00ED3574" w:rsidRPr="00D05CDC" w:rsidRDefault="00ED3574" w:rsidP="00ED3574">
            <w:pPr>
              <w:spacing w:after="0" w:line="276" w:lineRule="auto"/>
              <w:jc w:val="both"/>
              <w:rPr>
                <w:rFonts w:asciiTheme="minorHAnsi" w:hAnsiTheme="minorHAnsi" w:cstheme="minorHAnsi"/>
                <w:sz w:val="20"/>
                <w:szCs w:val="20"/>
              </w:rPr>
            </w:pPr>
            <w:r w:rsidRPr="00500140">
              <w:rPr>
                <w:rFonts w:asciiTheme="minorHAnsi" w:hAnsiTheme="minorHAnsi" w:cstheme="minorHAnsi"/>
                <w:sz w:val="20"/>
                <w:szCs w:val="20"/>
              </w:rPr>
              <w:t>Concientizar la inclusión de personas con discapacidad en el ámbito laboral</w:t>
            </w:r>
          </w:p>
        </w:tc>
      </w:tr>
      <w:tr w:rsidR="00ED3574" w:rsidRPr="00936D55" w14:paraId="27E7FF1F" w14:textId="77777777" w:rsidTr="00C96143">
        <w:trPr>
          <w:trHeight w:val="2460"/>
        </w:trPr>
        <w:tc>
          <w:tcPr>
            <w:tcW w:w="1941" w:type="dxa"/>
            <w:vAlign w:val="center"/>
          </w:tcPr>
          <w:p w14:paraId="040ECBF5" w14:textId="77777777" w:rsidR="00ED3574" w:rsidRPr="00936D55" w:rsidRDefault="00ED3574" w:rsidP="00ED3574">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6D1DC0B6" w14:textId="5AB5BDE2" w:rsidR="00ED3574" w:rsidRPr="00936D55" w:rsidRDefault="00C96143" w:rsidP="00ED3574">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5</w:t>
            </w:r>
          </w:p>
        </w:tc>
        <w:tc>
          <w:tcPr>
            <w:tcW w:w="2236" w:type="dxa"/>
            <w:vAlign w:val="center"/>
          </w:tcPr>
          <w:p w14:paraId="2976E68D" w14:textId="1C3C654C" w:rsidR="00ED3574" w:rsidRPr="00861D0A" w:rsidRDefault="00ED3574" w:rsidP="00ED3574">
            <w:pPr>
              <w:spacing w:after="0" w:line="276" w:lineRule="auto"/>
              <w:jc w:val="both"/>
              <w:rPr>
                <w:rFonts w:asciiTheme="minorHAnsi" w:hAnsiTheme="minorHAnsi" w:cstheme="minorHAnsi"/>
                <w:sz w:val="20"/>
                <w:szCs w:val="20"/>
              </w:rPr>
            </w:pPr>
            <w:r w:rsidRPr="00A245AF">
              <w:rPr>
                <w:rFonts w:asciiTheme="minorHAnsi" w:hAnsiTheme="minorHAnsi" w:cstheme="minorHAnsi"/>
                <w:sz w:val="20"/>
                <w:szCs w:val="20"/>
              </w:rPr>
              <w:t>Por lo que de manera general se recomienda hacer una restructuración de los indicadores que permita conocer más a fondo el desempeño del programa</w:t>
            </w:r>
          </w:p>
        </w:tc>
        <w:tc>
          <w:tcPr>
            <w:tcW w:w="2742" w:type="dxa"/>
            <w:shd w:val="clear" w:color="auto" w:fill="auto"/>
            <w:vAlign w:val="center"/>
          </w:tcPr>
          <w:p w14:paraId="5177805F" w14:textId="074D291C" w:rsidR="00ED3574" w:rsidRPr="00D05CDC" w:rsidRDefault="00ED3574" w:rsidP="00ED3574">
            <w:pPr>
              <w:spacing w:after="0" w:line="276" w:lineRule="auto"/>
              <w:jc w:val="both"/>
              <w:rPr>
                <w:rFonts w:asciiTheme="minorHAnsi" w:hAnsiTheme="minorHAnsi" w:cstheme="minorHAnsi"/>
                <w:sz w:val="20"/>
                <w:szCs w:val="20"/>
              </w:rPr>
            </w:pPr>
            <w:r>
              <w:rPr>
                <w:rFonts w:asciiTheme="minorHAnsi" w:hAnsiTheme="minorHAnsi" w:cstheme="minorHAnsi"/>
                <w:sz w:val="20"/>
                <w:szCs w:val="20"/>
              </w:rPr>
              <w:t>Restructurar los indicadores del progra</w:t>
            </w:r>
            <w:bookmarkStart w:id="1" w:name="_GoBack"/>
            <w:bookmarkEnd w:id="1"/>
            <w:r>
              <w:rPr>
                <w:rFonts w:asciiTheme="minorHAnsi" w:hAnsiTheme="minorHAnsi" w:cstheme="minorHAnsi"/>
                <w:sz w:val="20"/>
                <w:szCs w:val="20"/>
              </w:rPr>
              <w:t>ma</w:t>
            </w:r>
          </w:p>
        </w:tc>
        <w:tc>
          <w:tcPr>
            <w:tcW w:w="2305" w:type="dxa"/>
            <w:shd w:val="clear" w:color="auto" w:fill="auto"/>
            <w:vAlign w:val="center"/>
          </w:tcPr>
          <w:p w14:paraId="70848B7C" w14:textId="253997E0" w:rsidR="00ED3574" w:rsidRPr="00500140" w:rsidRDefault="00ED3574" w:rsidP="00ED3574">
            <w:pPr>
              <w:spacing w:after="0" w:line="276" w:lineRule="auto"/>
              <w:jc w:val="both"/>
              <w:rPr>
                <w:rFonts w:asciiTheme="minorHAnsi" w:hAnsiTheme="minorHAnsi" w:cstheme="minorHAnsi"/>
                <w:sz w:val="20"/>
                <w:szCs w:val="20"/>
              </w:rPr>
            </w:pPr>
            <w:r w:rsidRPr="00A245AF">
              <w:rPr>
                <w:rFonts w:asciiTheme="minorHAnsi" w:hAnsiTheme="minorHAnsi" w:cstheme="minorHAnsi"/>
                <w:sz w:val="20"/>
                <w:szCs w:val="20"/>
              </w:rPr>
              <w:t>Reestructurar los indicadores del programa</w:t>
            </w:r>
          </w:p>
        </w:tc>
      </w:tr>
      <w:tr w:rsidR="00ED3574" w:rsidRPr="00936D55" w14:paraId="6563BF0E" w14:textId="77777777" w:rsidTr="00C96143">
        <w:trPr>
          <w:trHeight w:val="1390"/>
        </w:trPr>
        <w:tc>
          <w:tcPr>
            <w:tcW w:w="1941" w:type="dxa"/>
            <w:vAlign w:val="center"/>
          </w:tcPr>
          <w:p w14:paraId="33AD9A12" w14:textId="77777777" w:rsidR="00ED3574" w:rsidRPr="00936D55" w:rsidRDefault="00ED3574" w:rsidP="00ED3574">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59396FA" w14:textId="4A6C6E1E" w:rsidR="00ED3574" w:rsidRPr="00936D55" w:rsidRDefault="00C96143" w:rsidP="00ED3574">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6</w:t>
            </w:r>
          </w:p>
        </w:tc>
        <w:tc>
          <w:tcPr>
            <w:tcW w:w="2236" w:type="dxa"/>
            <w:vAlign w:val="center"/>
          </w:tcPr>
          <w:p w14:paraId="5A13B7CE" w14:textId="405EACF9" w:rsidR="00ED3574" w:rsidRPr="00861D0A" w:rsidRDefault="00ED3574" w:rsidP="00ED3574">
            <w:pPr>
              <w:spacing w:after="0" w:line="276" w:lineRule="auto"/>
              <w:jc w:val="both"/>
              <w:rPr>
                <w:rFonts w:asciiTheme="minorHAnsi" w:hAnsiTheme="minorHAnsi" w:cstheme="minorHAnsi"/>
                <w:sz w:val="20"/>
                <w:szCs w:val="20"/>
              </w:rPr>
            </w:pPr>
            <w:r w:rsidRPr="00A245AF">
              <w:rPr>
                <w:rFonts w:asciiTheme="minorHAnsi" w:hAnsiTheme="minorHAnsi" w:cstheme="minorHAnsi"/>
                <w:sz w:val="20"/>
                <w:szCs w:val="20"/>
              </w:rPr>
              <w:t>Gestionar la actualización la población potencial del programa</w:t>
            </w:r>
          </w:p>
        </w:tc>
        <w:tc>
          <w:tcPr>
            <w:tcW w:w="2742" w:type="dxa"/>
            <w:shd w:val="clear" w:color="auto" w:fill="auto"/>
            <w:vAlign w:val="center"/>
          </w:tcPr>
          <w:p w14:paraId="417F4283" w14:textId="362ED178" w:rsidR="00ED3574" w:rsidRPr="00D05CDC" w:rsidRDefault="00ED3574" w:rsidP="00ED3574">
            <w:pPr>
              <w:spacing w:after="0" w:line="276" w:lineRule="auto"/>
              <w:jc w:val="both"/>
              <w:rPr>
                <w:rFonts w:asciiTheme="minorHAnsi" w:hAnsiTheme="minorHAnsi" w:cstheme="minorHAnsi"/>
                <w:sz w:val="20"/>
                <w:szCs w:val="20"/>
              </w:rPr>
            </w:pPr>
            <w:r>
              <w:rPr>
                <w:rFonts w:asciiTheme="minorHAnsi" w:hAnsiTheme="minorHAnsi" w:cstheme="minorHAnsi"/>
                <w:sz w:val="20"/>
                <w:szCs w:val="20"/>
              </w:rPr>
              <w:t>Actualizar la población potencial</w:t>
            </w:r>
          </w:p>
        </w:tc>
        <w:tc>
          <w:tcPr>
            <w:tcW w:w="2305" w:type="dxa"/>
            <w:shd w:val="clear" w:color="auto" w:fill="auto"/>
            <w:vAlign w:val="center"/>
          </w:tcPr>
          <w:p w14:paraId="4A276BEA" w14:textId="586939C4" w:rsidR="00ED3574" w:rsidRPr="00500140" w:rsidRDefault="00ED3574" w:rsidP="00ED3574">
            <w:pPr>
              <w:spacing w:after="0" w:line="276" w:lineRule="auto"/>
              <w:jc w:val="both"/>
              <w:rPr>
                <w:rFonts w:asciiTheme="minorHAnsi" w:hAnsiTheme="minorHAnsi" w:cstheme="minorHAnsi"/>
                <w:sz w:val="20"/>
                <w:szCs w:val="20"/>
              </w:rPr>
            </w:pPr>
            <w:r>
              <w:rPr>
                <w:rFonts w:asciiTheme="minorHAnsi" w:hAnsiTheme="minorHAnsi" w:cstheme="minorHAnsi"/>
                <w:sz w:val="20"/>
                <w:szCs w:val="20"/>
              </w:rPr>
              <w:t>A</w:t>
            </w:r>
            <w:r w:rsidRPr="00A245AF">
              <w:rPr>
                <w:rFonts w:asciiTheme="minorHAnsi" w:hAnsiTheme="minorHAnsi" w:cstheme="minorHAnsi"/>
                <w:sz w:val="20"/>
                <w:szCs w:val="20"/>
              </w:rPr>
              <w:t>ctualiza</w:t>
            </w:r>
            <w:r>
              <w:rPr>
                <w:rFonts w:asciiTheme="minorHAnsi" w:hAnsiTheme="minorHAnsi" w:cstheme="minorHAnsi"/>
                <w:sz w:val="20"/>
                <w:szCs w:val="20"/>
              </w:rPr>
              <w:t>r</w:t>
            </w:r>
            <w:r w:rsidRPr="00A245AF">
              <w:rPr>
                <w:rFonts w:asciiTheme="minorHAnsi" w:hAnsiTheme="minorHAnsi" w:cstheme="minorHAnsi"/>
                <w:sz w:val="20"/>
                <w:szCs w:val="20"/>
              </w:rPr>
              <w:t xml:space="preserve"> la población potencial del programa</w:t>
            </w:r>
          </w:p>
        </w:tc>
      </w:tr>
    </w:tbl>
    <w:p w14:paraId="77492E1D" w14:textId="41E1779C" w:rsidR="00AA45DE" w:rsidRPr="00936D55" w:rsidRDefault="00AA45DE"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77C8E3B6"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16771F">
        <w:rPr>
          <w:rFonts w:asciiTheme="minorHAnsi" w:hAnsiTheme="minorHAnsi" w:cstheme="minorHAnsi"/>
          <w:sz w:val="20"/>
          <w:szCs w:val="24"/>
        </w:rPr>
        <w:t>Interna</w:t>
      </w:r>
      <w:r w:rsidRPr="00936D55">
        <w:rPr>
          <w:rFonts w:asciiTheme="minorHAnsi" w:hAnsiTheme="minorHAnsi" w:cstheme="minorHAnsi"/>
          <w:sz w:val="20"/>
          <w:szCs w:val="24"/>
        </w:rPr>
        <w:t xml:space="preserve"> de </w:t>
      </w:r>
      <w:r w:rsidR="00500140">
        <w:rPr>
          <w:rFonts w:asciiTheme="minorHAnsi" w:hAnsiTheme="minorHAnsi" w:cstheme="minorHAnsi"/>
          <w:sz w:val="20"/>
          <w:szCs w:val="24"/>
        </w:rPr>
        <w:t>Desempeño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5F5B9618" w14:textId="7C6136F9" w:rsidR="00500140" w:rsidRDefault="00500140" w:rsidP="00500140">
      <w:pPr>
        <w:pStyle w:val="Prrafodelista"/>
        <w:numPr>
          <w:ilvl w:val="0"/>
          <w:numId w:val="3"/>
        </w:numPr>
        <w:spacing w:line="276" w:lineRule="auto"/>
        <w:ind w:right="1"/>
        <w:jc w:val="both"/>
        <w:rPr>
          <w:rFonts w:asciiTheme="minorHAnsi" w:hAnsiTheme="minorHAnsi" w:cstheme="minorHAnsi"/>
          <w:sz w:val="20"/>
          <w:szCs w:val="20"/>
        </w:rPr>
      </w:pPr>
      <w:r w:rsidRPr="00500140">
        <w:rPr>
          <w:rFonts w:asciiTheme="minorHAnsi" w:hAnsiTheme="minorHAnsi" w:cstheme="minorHAnsi"/>
          <w:sz w:val="20"/>
          <w:szCs w:val="20"/>
        </w:rPr>
        <w:t>Para el ejercicio fiscal 2022, el programa logró cumplir con el 100% de las metas programadas, no solo se alcanzó la meta fijada, sino que se logró superarla hasta un 163%.</w:t>
      </w:r>
    </w:p>
    <w:p w14:paraId="6B9F82CA" w14:textId="694D8E5E" w:rsidR="00B875B8" w:rsidRDefault="00500140" w:rsidP="00500140">
      <w:pPr>
        <w:pStyle w:val="Prrafodelista"/>
        <w:numPr>
          <w:ilvl w:val="0"/>
          <w:numId w:val="3"/>
        </w:numPr>
        <w:spacing w:line="276" w:lineRule="auto"/>
        <w:ind w:right="1"/>
        <w:jc w:val="both"/>
        <w:rPr>
          <w:rFonts w:asciiTheme="minorHAnsi" w:hAnsiTheme="minorHAnsi" w:cstheme="minorHAnsi"/>
          <w:sz w:val="20"/>
          <w:szCs w:val="20"/>
        </w:rPr>
      </w:pPr>
      <w:r w:rsidRPr="00500140">
        <w:rPr>
          <w:rFonts w:asciiTheme="minorHAnsi" w:hAnsiTheme="minorHAnsi" w:cstheme="minorHAnsi"/>
          <w:sz w:val="20"/>
          <w:szCs w:val="20"/>
        </w:rPr>
        <w:t>El programa de Atención a Personas con Discapacidad cubre de manera ascendente sus metas y avances programadas para el ejercicio 2023, es de resaltar que en los avances registrados para el 3 trimestre ya se rebasó la meta de 9,500 personas con discapacidad atendida, siendo un total de 10,012 las personas con algún tipo de discapacidad a las cuales se les ha brindado atención a través de los diferentes centros de rehabilitación</w:t>
      </w:r>
      <w:r>
        <w:rPr>
          <w:rFonts w:asciiTheme="minorHAnsi" w:hAnsiTheme="minorHAnsi" w:cstheme="minorHAnsi"/>
          <w:sz w:val="20"/>
          <w:szCs w:val="20"/>
        </w:rPr>
        <w:t>.</w:t>
      </w:r>
    </w:p>
    <w:p w14:paraId="1EBA3B1E" w14:textId="78AB1175" w:rsidR="00500140" w:rsidRPr="00ED12C1" w:rsidRDefault="00500140" w:rsidP="00500140">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 xml:space="preserve">En lo que se refiere a la </w:t>
      </w:r>
      <w:r w:rsidRPr="00500140">
        <w:rPr>
          <w:rFonts w:asciiTheme="minorHAnsi" w:hAnsiTheme="minorHAnsi" w:cstheme="minorHAnsi"/>
          <w:sz w:val="20"/>
          <w:szCs w:val="20"/>
        </w:rPr>
        <w:t>atención respecto a la población total con discapacidad del Estado de Sinaloa</w:t>
      </w:r>
      <w:r>
        <w:rPr>
          <w:rFonts w:asciiTheme="minorHAnsi" w:hAnsiTheme="minorHAnsi" w:cstheme="minorHAnsi"/>
          <w:sz w:val="20"/>
          <w:szCs w:val="20"/>
        </w:rPr>
        <w:t>, pasamos de un 4.1% a un 5.6% de atención.</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E1142C"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58C57" w14:textId="77777777" w:rsidR="00A707AE" w:rsidRDefault="00A707AE" w:rsidP="008E5209">
      <w:pPr>
        <w:spacing w:after="0" w:line="240" w:lineRule="auto"/>
      </w:pPr>
      <w:r>
        <w:separator/>
      </w:r>
    </w:p>
  </w:endnote>
  <w:endnote w:type="continuationSeparator" w:id="0">
    <w:p w14:paraId="36771535" w14:textId="77777777" w:rsidR="00A707AE" w:rsidRDefault="00A707A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0636F44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C96143">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1FA6D34E"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C96143" w:rsidRPr="00C96143">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84720" w14:textId="77777777" w:rsidR="00A707AE" w:rsidRDefault="00A707AE" w:rsidP="008E5209">
      <w:pPr>
        <w:spacing w:after="0" w:line="240" w:lineRule="auto"/>
      </w:pPr>
      <w:r>
        <w:separator/>
      </w:r>
    </w:p>
  </w:footnote>
  <w:footnote w:type="continuationSeparator" w:id="0">
    <w:p w14:paraId="2615941E" w14:textId="77777777" w:rsidR="00A707AE" w:rsidRDefault="00A707A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500140" w:rsidRDefault="00B53A27" w:rsidP="00B53A27">
    <w:pPr>
      <w:ind w:left="3828"/>
      <w:jc w:val="right"/>
      <w:rPr>
        <w:rFonts w:ascii="Medium" w:hAnsi="Medium" w:cs="Arial"/>
        <w:b/>
        <w:color w:val="000000" w:themeColor="text1"/>
        <w:sz w:val="26"/>
        <w:szCs w:val="26"/>
      </w:rPr>
    </w:pPr>
    <w:r w:rsidRPr="00500140">
      <w:rPr>
        <w:rFonts w:ascii="Medium" w:hAnsi="Medium" w:cs="Arial"/>
        <w:b/>
        <w:noProof/>
        <w:color w:val="000000" w:themeColor="text1"/>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500140">
      <w:rPr>
        <w:rFonts w:ascii="Medium" w:hAnsi="Medium" w:cs="Arial"/>
        <w:b/>
        <w:color w:val="000000" w:themeColor="text1"/>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A5B22"/>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0140"/>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76BC"/>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245AF"/>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143"/>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C6521"/>
    <w:rsid w:val="00ED0FAB"/>
    <w:rsid w:val="00ED12C1"/>
    <w:rsid w:val="00ED2843"/>
    <w:rsid w:val="00ED3574"/>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C173F-3257-4FC8-A5DC-EF5597EF8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571</Words>
  <Characters>3141</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3</cp:revision>
  <cp:lastPrinted>2021-10-18T17:24:00Z</cp:lastPrinted>
  <dcterms:created xsi:type="dcterms:W3CDTF">2024-04-30T17:40:00Z</dcterms:created>
  <dcterms:modified xsi:type="dcterms:W3CDTF">2024-04-30T19:52:00Z</dcterms:modified>
</cp:coreProperties>
</file>